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ind w:leftChars="0"/>
        <w:jc w:val="both"/>
        <w:rPr>
          <w:rFonts w:hint="default" w:eastAsiaTheme="minorEastAsia"/>
          <w:b/>
          <w:bCs/>
          <w:lang w:val="en-US" w:eastAsia="zh-CN"/>
        </w:rPr>
      </w:pPr>
      <w:r>
        <w:rPr>
          <w:rFonts w:hint="default" w:eastAsiaTheme="minorEastAsia"/>
          <w:b/>
          <w:bCs/>
          <w:lang w:val="en-US" w:eastAsia="zh-CN"/>
        </w:rPr>
        <w:t>Aims and Scope</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Clinical and Translational Reports (CTR) publishes rigorously peer-reviewed research on clinical and translational research to all the domains of life. Led by an outstanding Editorial Board of the world’s leading experts, this multidisciplinary, open-access journal is at the forefront of communicating cutting-edge research to researchers, academics, clinicians, policy makers and the public. CTR covers the areas of research in the specialty sections outlined below. All specialty sections are open-access and publish original research, reviews, opinions and commentaries. This comprises the full spectrum of clinical and translational research, from the most basic to the most clinically applied, applications, and implications.</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b/>
          <w:bCs/>
          <w:lang w:val="en-US" w:eastAsia="zh-CN"/>
        </w:rPr>
      </w:pPr>
      <w:r>
        <w:rPr>
          <w:rFonts w:hint="default" w:eastAsiaTheme="minorEastAsia"/>
          <w:b/>
          <w:bCs/>
          <w:lang w:val="en-US" w:eastAsia="zh-CN"/>
        </w:rPr>
        <w:t>Manuscript Categories</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Original Article</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Research articles should present the results of an original research study. These manuscripts should describe how the research project was conducted and provide a thorough analysis of the results of the project. Originality and clinical impact are essential for acceptance of Original Articles.</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b/>
          <w:bCs/>
          <w:lang w:val="en-US" w:eastAsia="zh-CN"/>
        </w:rPr>
      </w:pPr>
      <w:r>
        <w:rPr>
          <w:rFonts w:hint="default" w:eastAsiaTheme="minorEastAsia"/>
          <w:b/>
          <w:bCs/>
          <w:lang w:val="en-US" w:eastAsia="zh-CN"/>
        </w:rPr>
        <w:t>Manuscript Organization</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All submissions should be prepared with the following files, and submitted via our online system.</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b/>
          <w:bCs/>
          <w:lang w:val="en-US" w:eastAsia="zh-CN"/>
        </w:rPr>
      </w:pPr>
      <w:r>
        <w:rPr>
          <w:rFonts w:hint="default" w:eastAsiaTheme="minorEastAsia"/>
          <w:b/>
          <w:bCs/>
          <w:lang w:val="en-US" w:eastAsia="zh-CN"/>
        </w:rPr>
        <w:t>1. File Format</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Authors may submit their manuscript files in OpenOffice, Microsoft Word, or RTF document file format. Word files must not be protected.</w:t>
      </w:r>
      <w:r>
        <w:rPr>
          <w:rFonts w:hint="eastAsia"/>
          <w:lang w:val="en-US" w:eastAsia="zh-CN"/>
        </w:rPr>
        <w:t xml:space="preserve"> </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b/>
          <w:bCs/>
          <w:lang w:val="en-US" w:eastAsia="zh-CN"/>
        </w:rPr>
      </w:pPr>
      <w:r>
        <w:rPr>
          <w:rFonts w:hint="default" w:eastAsiaTheme="minorEastAsia"/>
          <w:b/>
          <w:bCs/>
          <w:lang w:val="en-US" w:eastAsia="zh-CN"/>
        </w:rPr>
        <w:t>2. Manuscript Length</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AIMS does not impose a limit on the length of manuscripts.</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b/>
          <w:bCs/>
          <w:lang w:val="en-US" w:eastAsia="zh-CN"/>
        </w:rPr>
      </w:pPr>
      <w:r>
        <w:rPr>
          <w:rFonts w:hint="default" w:eastAsiaTheme="minorEastAsia"/>
          <w:b/>
          <w:bCs/>
          <w:lang w:val="en-US" w:eastAsia="zh-CN"/>
        </w:rPr>
        <w:t>3. Title</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The title should be specific, descriptive, concise, and comprehensible to readers outside the subject field. Capitalize only the first letter of the title.</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b/>
          <w:bCs/>
          <w:lang w:val="en-US" w:eastAsia="zh-CN"/>
        </w:rPr>
      </w:pPr>
      <w:r>
        <w:rPr>
          <w:rFonts w:hint="default" w:eastAsiaTheme="minorEastAsia"/>
          <w:b/>
          <w:bCs/>
          <w:lang w:val="en-US" w:eastAsia="zh-CN"/>
        </w:rPr>
        <w:t>4. Authors and Affiliations</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All authors' full names (the middle name can be abbreviated) should be listed together and separated by commas. Link affiliations to the author's name with superscript numbers and list as follows: Laboratory, Department, Organization, City, State (in abbreviation if from USA , Canada , or Australia ), and Country.</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The Corresponding Author should be marked with an asterisk, and their exact contact address, email address and telephone number should be listed in a separate paragraph. This information will be published with the article if accepted.</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Any change of affiliation requests will not be allowed after publication. A note about the author's new address can be added to the article's webpage if needed.</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If the article has been submitted on behalf of a consortium, all author names and affiliations should be listed at the end of the manuscript.</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b/>
          <w:bCs/>
          <w:lang w:val="en-US" w:eastAsia="zh-CN"/>
        </w:rPr>
      </w:pPr>
      <w:r>
        <w:rPr>
          <w:rFonts w:hint="default" w:eastAsiaTheme="minorEastAsia"/>
          <w:b/>
          <w:bCs/>
          <w:lang w:val="en-US" w:eastAsia="zh-CN"/>
        </w:rPr>
        <w:t>5. Headings and Subheadings</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There should be no more than 4 levels of headings. The font of headings and subheadings should be 12 point normal Times New Roman, and only the first word should be capitalized.</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b/>
          <w:bCs/>
          <w:lang w:val="en-US" w:eastAsia="zh-CN"/>
        </w:rPr>
      </w:pPr>
      <w:r>
        <w:rPr>
          <w:rFonts w:hint="default" w:eastAsiaTheme="minorEastAsia"/>
          <w:b/>
          <w:bCs/>
          <w:lang w:val="en-US" w:eastAsia="zh-CN"/>
        </w:rPr>
        <w:t>6. Abstract and Keywords</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The abstract should:</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Describe the the context and purpose of the study</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Explain how the study was performed, including any model organisms used, without methodological detail</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Summarize the main findings and their significance</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Be less than 300 words</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Please minimize the use of abbreviations (if possible) and do not cite references in the abstract.</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5 to 10 keywords should be provided after the abstract in a separate paragraph.</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b/>
          <w:bCs/>
          <w:lang w:val="en-US" w:eastAsia="zh-CN"/>
        </w:rPr>
      </w:pPr>
      <w:r>
        <w:rPr>
          <w:rFonts w:hint="default" w:eastAsiaTheme="minorEastAsia"/>
          <w:b/>
          <w:bCs/>
          <w:lang w:val="en-US" w:eastAsia="zh-CN"/>
        </w:rPr>
        <w:t>7. Body Text</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The body text must be normal Times New Roman font</w:t>
      </w:r>
      <w:r>
        <w:rPr>
          <w:rFonts w:hint="eastAsia"/>
          <w:lang w:val="en-US" w:eastAsia="zh-CN"/>
        </w:rPr>
        <w:t xml:space="preserve">, </w:t>
      </w:r>
      <w:r>
        <w:rPr>
          <w:rFonts w:hint="default" w:eastAsiaTheme="minorEastAsia"/>
          <w:lang w:val="en-US" w:eastAsia="zh-CN"/>
        </w:rPr>
        <w:t>single-spaced; 12-point font; employs italics, rather than underlining (except with URL addresses); and all illustrations, figures, and tables are placed within the text at the appropriate points, rather than at the end. Any abbreviations should be listed before the introduction section. The main text should include:</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 Introduction</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The Introduction section should provide a brief statement of the research background and whether the aim of the article was achieved.</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 Materials and methods</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The Materials and methods section should provide sufficient detail to allow suitably skilled investigators to repeat your study. This section should include the design of the study and the type of materials involved, a clear description of all interventions and comparisons, and the type of analysis used, including a power calculation if appropriate. Generic drug names should generally be used. When proprietary brands are used in research, include the brand names in parentheses in the Materials and methods section.</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If materials, methods, and protocols are well established, authors may cite articles where those protocols are described in detail, but the submission should include sufficient information to be understood independent of these.</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For studies involving human participants, a statement detailing ethical approval and consent should be included in the methods section. For further details of the journal's editorial policies and ethical guidelines see “Specific Reporting Guidelines.”</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 Results, Discussion, Conclusion</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These sections may all be separate, or they may be combined to create a mixed Results/Discussion section (commonly labeled "Results and Discussion") or a mixed Discussion/Conclusions section (commonly labeled "Conclusions").</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Authors should describe and explain the results of the experiments in these sections; they should explain how the results relate to the hypothesis presented as the basis of the study and provide a concise explanation of the implications of the findings, particularly in relation to previous related studies and potential future directions for research.</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b/>
          <w:bCs/>
          <w:lang w:val="en-US" w:eastAsia="zh-CN"/>
        </w:rPr>
      </w:pPr>
      <w:r>
        <w:rPr>
          <w:rFonts w:hint="default" w:eastAsiaTheme="minorEastAsia"/>
          <w:b/>
          <w:bCs/>
          <w:lang w:val="en-US" w:eastAsia="zh-CN"/>
        </w:rPr>
        <w:t>8. Acknowledgments</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If the research was funded, the author should list the funding information and grant number in the Acknowledgments section. If there are any contributions from other institutions or people, the author should acknowledge them in this section as well. Authors should obtain permission to acknowledge from all those mentioned in the Acknowledgments section.</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b/>
          <w:bCs/>
          <w:lang w:val="en-US" w:eastAsia="zh-CN"/>
        </w:rPr>
      </w:pPr>
      <w:r>
        <w:rPr>
          <w:rFonts w:hint="default" w:eastAsiaTheme="minorEastAsia"/>
          <w:b/>
          <w:bCs/>
          <w:lang w:val="en-US" w:eastAsia="zh-CN"/>
        </w:rPr>
        <w:t>9. Conflict of Interest</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The author should declare all relationships, financial, commercial or otherwise, that might be perceived by the academic community as representing a potential conflict of interest. If there are no such relationships, the author can state “All authors declare no conflicts of interest in this paper” in this section.</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b/>
          <w:bCs/>
          <w:lang w:val="en-US" w:eastAsia="zh-CN"/>
        </w:rPr>
      </w:pPr>
      <w:r>
        <w:rPr>
          <w:rFonts w:hint="default" w:eastAsiaTheme="minorEastAsia"/>
          <w:b/>
          <w:bCs/>
          <w:lang w:val="en-US" w:eastAsia="zh-CN"/>
        </w:rPr>
        <w:t>10. References</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Authors may submit their references in any style. If accepted, these will be reformatted in Chicago style. Authors are responsible for ensuring that the information in each reference is complete and accurate. All references should be numbered consecutively in the order of their first citation. Citations of references in the text should be identified using numbers in square brackets e.g., “as discussed by Smith [9]”; “as discussed elsewhere [9, 10]”. All references should be cited within the text and uncited references will be removed.</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b/>
          <w:bCs/>
          <w:lang w:val="en-US" w:eastAsia="zh-CN"/>
        </w:rPr>
      </w:pPr>
      <w:r>
        <w:rPr>
          <w:rFonts w:hint="default" w:eastAsiaTheme="minorEastAsia"/>
          <w:b/>
          <w:bCs/>
          <w:lang w:val="en-US" w:eastAsia="zh-CN"/>
        </w:rPr>
        <w:t>11. Supplementary (if available and necessary)</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We encourage authors to submit detailed supplementary, including dataset, document, image, video, software code, protocol, supporting information, table etc, but some large datasets (&gt;100 MB) should be deposited in specialized service providers by author.</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b/>
          <w:bCs/>
          <w:lang w:val="en-US" w:eastAsia="zh-CN"/>
        </w:rPr>
      </w:pPr>
      <w:r>
        <w:rPr>
          <w:rFonts w:hint="default" w:eastAsiaTheme="minorEastAsia"/>
          <w:b/>
          <w:bCs/>
          <w:lang w:val="en-US" w:eastAsia="zh-CN"/>
        </w:rPr>
        <w:t>12. Figures and Tables</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The following file formats are acceptable:</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EPS (.eps)</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PNG (.png)</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PDF (.pdf)</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JPEG (.jpg)</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All figures should be in the RGB color mode, and be provided as separate files. Image resolution should be a minimum of 300 dpi.</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If preparing the manuscript in Microsoft Word, use the table function to draw tables. Authors should insert the Figures and Tables into the main text of the manuscript and call out all figures and tables in numerical order. There must be a caption under figure, and above table. Authors must obtain permission for the reuse of published materials from other sources.</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b/>
          <w:bCs/>
          <w:lang w:val="en-US" w:eastAsia="zh-CN"/>
        </w:rPr>
      </w:pPr>
      <w:r>
        <w:rPr>
          <w:rFonts w:hint="default" w:eastAsiaTheme="minorEastAsia"/>
          <w:b/>
          <w:bCs/>
          <w:lang w:val="en-US" w:eastAsia="zh-CN"/>
        </w:rPr>
        <w:t>13. Funding Statement</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Authors must state how the research and publication of their article was funded, by naming financially supporting body(s) (written out in full) followed by associated grant number(s) in square brackets (if applicable), for example:“This work was supported by the Engineering and Physical Sciences Research Council [grant numbers xxxx, yyyy]; the National Science Foundation [grant number zzzz]; and a Leverhulme Trust Research Project Grant”.</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If the research did not receive specific funding, but was performed as part of the employment of the authors, please name this employer. If the funder was involved in the manuscript writing, editing, approval, or decision to publish, please declare this.</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b/>
          <w:bCs/>
          <w:lang w:val="en-US" w:eastAsia="zh-CN"/>
        </w:rPr>
      </w:pPr>
      <w:r>
        <w:rPr>
          <w:rFonts w:hint="default" w:eastAsiaTheme="minorEastAsia"/>
          <w:b/>
          <w:bCs/>
          <w:lang w:val="en-US" w:eastAsia="zh-CN"/>
        </w:rPr>
        <w:t>Submission</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Manuscripts should be submitted by one of the authors of the manuscript through the online journal website (https://sparkingpublish.com/index.html). Submissions by anyone other than one of the authors will not be accepted. The submitting author takes responsibility for the manuscript during submission and peer review.</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b/>
          <w:bCs/>
          <w:lang w:val="en-US" w:eastAsia="zh-CN"/>
        </w:rPr>
      </w:pPr>
      <w:r>
        <w:rPr>
          <w:rFonts w:hint="default" w:eastAsiaTheme="minorEastAsia"/>
          <w:b/>
          <w:bCs/>
          <w:lang w:val="en-US" w:eastAsia="zh-CN"/>
        </w:rPr>
        <w:t>Peer Review</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All submitted articles are subject to assessment and peer review to ensure editorial appropriateness and technical correctness. In order for an article to be accepted for publication, the assigned Editor will first consider if the manuscript meets minimum editorial standards and fits within the scope of the journal. If an article is within scope, then the Editor will ideally solicit at least two external peer reviewers (whose identities will remain anonymous to the authors) to assess the article before confirming a decision to accept. Decisions to reject are at the discretion of the Editor. Our Research Integrity team will occasionally seek advice outside standard peer review, for example, on submissions with serious ethical, security, biosecurity, or societal implications. We may consult experts and the academic editor before deciding on appropriate actions, including but not limited to: recruiting reviewers with specific expertise, assessment by additional editors, and declining to further consider a submission.</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b/>
          <w:bCs/>
          <w:lang w:val="en-US" w:eastAsia="zh-CN"/>
        </w:rPr>
      </w:pPr>
      <w:r>
        <w:rPr>
          <w:rFonts w:hint="default" w:eastAsiaTheme="minorEastAsia"/>
          <w:b/>
          <w:bCs/>
          <w:lang w:val="en-US" w:eastAsia="zh-CN"/>
        </w:rPr>
        <w:t>Article Processing Charges</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The journal is Open Access. Article Processing Charges (APCs) allow the publisher to make articles immediately available online to anyone to read and reuse upon publication.</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b/>
          <w:bCs/>
          <w:lang w:val="en-US" w:eastAsia="zh-CN"/>
        </w:rPr>
      </w:pPr>
      <w:r>
        <w:rPr>
          <w:rFonts w:hint="default" w:eastAsiaTheme="minorEastAsia"/>
          <w:b/>
          <w:bCs/>
          <w:lang w:val="en-US" w:eastAsia="zh-CN"/>
        </w:rPr>
        <w:t>Proofs</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Corrected proofs must be returned to the publisher within two to three days of receipt. The publisher will do everything possible to ensure prompt publication.</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b/>
          <w:bCs/>
          <w:lang w:val="en-US" w:eastAsia="zh-CN"/>
        </w:rPr>
      </w:pPr>
      <w:r>
        <w:rPr>
          <w:rFonts w:hint="default" w:eastAsiaTheme="minorEastAsia"/>
          <w:b/>
          <w:bCs/>
          <w:lang w:val="en-US" w:eastAsia="zh-CN"/>
        </w:rPr>
        <w:t>Authors’ Responsibility</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We ask all authors to confirm that 1) they have not previously published or have not submitted the same manuscript elsewhere, 2) they took a significant part in the work and approved the final version of the manuscript, 3) they have complied with ethical standards, 4) they agree to grant Oxford University Press a licence to publish the accepted article when the manuscript is accepted, 5) they have obtained all necessary permissions to publish any figures or tables in the manuscript, and assure that the authors will pay for any necessary charges, and 6) they have informed all of the persons named in the acknowledgements of papers of their inclusion in this section.</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b/>
          <w:bCs/>
          <w:lang w:val="en-US" w:eastAsia="zh-CN"/>
        </w:rPr>
      </w:pPr>
      <w:r>
        <w:rPr>
          <w:rFonts w:hint="default" w:eastAsiaTheme="minorEastAsia"/>
          <w:b/>
          <w:bCs/>
          <w:lang w:val="en-US" w:eastAsia="zh-CN"/>
        </w:rPr>
        <w:t>Ethical Consideration</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Papers describing animal experiments can be accepted for publication only if the experiment conforms to the legal requirements in Poland as well as with the European Communities Council Directive of November 24, 1986 or the National Institute of Health Guide (National Institute of Health Publications No. 80-23, Revised 1978) for the care and use of Laboratory Animals for experimental procedure. Authors must provide a full description of their anesthetics and surgical procedures. Papers describing experiments on human subjects must include a statement that experiments were performed with the understanding and consent of each subject, with the approval of the appropriate local ethics committee.</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b/>
          <w:bCs/>
          <w:lang w:val="en-US" w:eastAsia="zh-CN"/>
        </w:rPr>
      </w:pPr>
      <w:r>
        <w:rPr>
          <w:rFonts w:hint="default" w:eastAsiaTheme="minorEastAsia"/>
          <w:b/>
          <w:bCs/>
          <w:lang w:val="en-US" w:eastAsia="zh-CN"/>
        </w:rPr>
        <w:t>Contact</w:t>
      </w: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Sparkling Publishing and Media CO.,LIMITED</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Flat/Room A, 9/F Silvercorp International Tower, 707-713 Nathan Road, Mongkok, Kowloon, Hong Kong</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Tel/Fax: 00852-21101865</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Email: Melody20230222@gmail.com</w:t>
      </w:r>
    </w:p>
    <w:p>
      <w:pPr>
        <w:widowControl w:val="0"/>
        <w:numPr>
          <w:ilvl w:val="0"/>
          <w:numId w:val="0"/>
        </w:numPr>
        <w:ind w:leftChars="0"/>
        <w:jc w:val="both"/>
        <w:rPr>
          <w:rFonts w:hint="default" w:eastAsiaTheme="minorEastAsia"/>
          <w:lang w:val="en-US" w:eastAsia="zh-CN"/>
        </w:rPr>
      </w:pPr>
    </w:p>
    <w:p>
      <w:pPr>
        <w:widowControl w:val="0"/>
        <w:numPr>
          <w:ilvl w:val="0"/>
          <w:numId w:val="0"/>
        </w:numPr>
        <w:ind w:leftChars="0"/>
        <w:jc w:val="both"/>
        <w:rPr>
          <w:rFonts w:hint="default" w:eastAsiaTheme="minorEastAsia"/>
          <w:lang w:val="en-US" w:eastAsia="zh-CN"/>
        </w:rPr>
      </w:pPr>
      <w:r>
        <w:rPr>
          <w:rFonts w:hint="default" w:eastAsiaTheme="minorEastAsia"/>
          <w:lang w:val="en-US" w:eastAsia="zh-CN"/>
        </w:rPr>
        <w:t>Our working hours are from 09:00 AM-06:00 PM</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NDRiNmY4OWI2OTI4YmZlNjMzNDM1ZTZiMTlmNDYifQ=="/>
  </w:docVars>
  <w:rsids>
    <w:rsidRoot w:val="310D1424"/>
    <w:rsid w:val="310D1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2023-04-07T07:35:00Z</dcterms:created>
  <dc:creator>Administrator</dc:creator>
  <cp:lastModifiedBy>Administrator</cp:lastModifiedBy>
  <dcterms:modified xsi:type="dcterms:W3CDTF">2023-04-07T07:35:41Z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993E8C5FF3664602871B6E60B15C1BD1_11</vt:lpwstr>
  </property>
</Properties>
</file>